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299EE3" w14:textId="24BB5EB1" w:rsidR="00AC5365" w:rsidRDefault="006561F4">
      <w:pPr>
        <w:rPr>
          <w:b/>
          <w:bCs/>
          <w:sz w:val="28"/>
          <w:szCs w:val="28"/>
        </w:rPr>
      </w:pPr>
      <w:r w:rsidRPr="00403ACC">
        <w:rPr>
          <w:b/>
          <w:bCs/>
          <w:sz w:val="28"/>
          <w:szCs w:val="28"/>
        </w:rPr>
        <w:t xml:space="preserve">Scope of Work for Tax Map Key (TMK): (1) </w:t>
      </w:r>
      <w:r w:rsidR="000C3A41" w:rsidRPr="000C3A41">
        <w:rPr>
          <w:b/>
          <w:bCs/>
          <w:sz w:val="28"/>
          <w:szCs w:val="28"/>
        </w:rPr>
        <w:t>2</w:t>
      </w:r>
      <w:r w:rsidR="000C3A41">
        <w:rPr>
          <w:b/>
          <w:bCs/>
          <w:sz w:val="28"/>
          <w:szCs w:val="28"/>
        </w:rPr>
        <w:t>-</w:t>
      </w:r>
      <w:r w:rsidR="000C3A41" w:rsidRPr="000C3A41">
        <w:rPr>
          <w:b/>
          <w:bCs/>
          <w:sz w:val="28"/>
          <w:szCs w:val="28"/>
        </w:rPr>
        <w:t>4</w:t>
      </w:r>
      <w:r w:rsidR="000C3A41">
        <w:rPr>
          <w:b/>
          <w:bCs/>
          <w:sz w:val="28"/>
          <w:szCs w:val="28"/>
        </w:rPr>
        <w:t>-</w:t>
      </w:r>
      <w:r w:rsidR="000C3A41" w:rsidRPr="000C3A41">
        <w:rPr>
          <w:b/>
          <w:bCs/>
          <w:sz w:val="28"/>
          <w:szCs w:val="28"/>
        </w:rPr>
        <w:t>024</w:t>
      </w:r>
      <w:r w:rsidR="000C3A41">
        <w:rPr>
          <w:b/>
          <w:bCs/>
          <w:sz w:val="28"/>
          <w:szCs w:val="28"/>
        </w:rPr>
        <w:t>:</w:t>
      </w:r>
      <w:r w:rsidR="000C3A41" w:rsidRPr="000C3A41">
        <w:rPr>
          <w:b/>
          <w:bCs/>
          <w:sz w:val="28"/>
          <w:szCs w:val="28"/>
        </w:rPr>
        <w:t xml:space="preserve">033, </w:t>
      </w:r>
      <w:r w:rsidR="000C3A41">
        <w:rPr>
          <w:b/>
          <w:bCs/>
          <w:sz w:val="28"/>
          <w:szCs w:val="28"/>
        </w:rPr>
        <w:t>(</w:t>
      </w:r>
      <w:r w:rsidR="000C3A41" w:rsidRPr="000C3A41">
        <w:rPr>
          <w:b/>
          <w:bCs/>
          <w:sz w:val="28"/>
          <w:szCs w:val="28"/>
        </w:rPr>
        <w:t>1</w:t>
      </w:r>
      <w:r w:rsidR="000C3A41">
        <w:rPr>
          <w:b/>
          <w:bCs/>
          <w:sz w:val="28"/>
          <w:szCs w:val="28"/>
        </w:rPr>
        <w:t xml:space="preserve">) </w:t>
      </w:r>
      <w:r w:rsidR="000C3A41" w:rsidRPr="000C3A41">
        <w:rPr>
          <w:b/>
          <w:bCs/>
          <w:sz w:val="28"/>
          <w:szCs w:val="28"/>
        </w:rPr>
        <w:t>2</w:t>
      </w:r>
      <w:r w:rsidR="000C3A41">
        <w:rPr>
          <w:b/>
          <w:bCs/>
          <w:sz w:val="28"/>
          <w:szCs w:val="28"/>
        </w:rPr>
        <w:t>-</w:t>
      </w:r>
      <w:r w:rsidR="000C3A41" w:rsidRPr="000C3A41">
        <w:rPr>
          <w:b/>
          <w:bCs/>
          <w:sz w:val="28"/>
          <w:szCs w:val="28"/>
        </w:rPr>
        <w:t>4</w:t>
      </w:r>
      <w:r w:rsidR="000C3A41">
        <w:rPr>
          <w:b/>
          <w:bCs/>
          <w:sz w:val="28"/>
          <w:szCs w:val="28"/>
        </w:rPr>
        <w:t>-</w:t>
      </w:r>
      <w:r w:rsidR="000C3A41" w:rsidRPr="000C3A41">
        <w:rPr>
          <w:b/>
          <w:bCs/>
          <w:sz w:val="28"/>
          <w:szCs w:val="28"/>
        </w:rPr>
        <w:t>025</w:t>
      </w:r>
      <w:r w:rsidR="000C3A41">
        <w:rPr>
          <w:b/>
          <w:bCs/>
          <w:sz w:val="28"/>
          <w:szCs w:val="28"/>
        </w:rPr>
        <w:t>:</w:t>
      </w:r>
      <w:r w:rsidR="000C3A41" w:rsidRPr="000C3A41">
        <w:rPr>
          <w:b/>
          <w:bCs/>
          <w:sz w:val="28"/>
          <w:szCs w:val="28"/>
        </w:rPr>
        <w:t xml:space="preserve">029, </w:t>
      </w:r>
      <w:r w:rsidR="000C3A41">
        <w:rPr>
          <w:b/>
          <w:bCs/>
          <w:sz w:val="28"/>
          <w:szCs w:val="28"/>
        </w:rPr>
        <w:t>(</w:t>
      </w:r>
      <w:r w:rsidR="000C3A41" w:rsidRPr="000C3A41">
        <w:rPr>
          <w:b/>
          <w:bCs/>
          <w:sz w:val="28"/>
          <w:szCs w:val="28"/>
        </w:rPr>
        <w:t>1</w:t>
      </w:r>
      <w:r w:rsidR="000C3A41">
        <w:rPr>
          <w:b/>
          <w:bCs/>
          <w:sz w:val="28"/>
          <w:szCs w:val="28"/>
        </w:rPr>
        <w:t xml:space="preserve">) </w:t>
      </w:r>
      <w:r w:rsidR="000C3A41" w:rsidRPr="000C3A41">
        <w:rPr>
          <w:b/>
          <w:bCs/>
          <w:sz w:val="28"/>
          <w:szCs w:val="28"/>
        </w:rPr>
        <w:t>2</w:t>
      </w:r>
      <w:r w:rsidR="000C3A41">
        <w:rPr>
          <w:b/>
          <w:bCs/>
          <w:sz w:val="28"/>
          <w:szCs w:val="28"/>
        </w:rPr>
        <w:t>-</w:t>
      </w:r>
      <w:r w:rsidR="000C3A41" w:rsidRPr="000C3A41">
        <w:rPr>
          <w:b/>
          <w:bCs/>
          <w:sz w:val="28"/>
          <w:szCs w:val="28"/>
        </w:rPr>
        <w:t>4</w:t>
      </w:r>
      <w:r w:rsidR="000C3A41">
        <w:rPr>
          <w:b/>
          <w:bCs/>
          <w:sz w:val="28"/>
          <w:szCs w:val="28"/>
        </w:rPr>
        <w:t>-</w:t>
      </w:r>
      <w:r w:rsidR="000C3A41" w:rsidRPr="000C3A41">
        <w:rPr>
          <w:b/>
          <w:bCs/>
          <w:sz w:val="28"/>
          <w:szCs w:val="28"/>
        </w:rPr>
        <w:t>029</w:t>
      </w:r>
      <w:r w:rsidR="000C3A41">
        <w:rPr>
          <w:b/>
          <w:bCs/>
          <w:sz w:val="28"/>
          <w:szCs w:val="28"/>
        </w:rPr>
        <w:t>:</w:t>
      </w:r>
      <w:r w:rsidR="000C3A41" w:rsidRPr="000C3A41">
        <w:rPr>
          <w:b/>
          <w:bCs/>
          <w:sz w:val="28"/>
          <w:szCs w:val="28"/>
        </w:rPr>
        <w:t xml:space="preserve">037, </w:t>
      </w:r>
      <w:r w:rsidR="000C3A41">
        <w:rPr>
          <w:b/>
          <w:bCs/>
          <w:sz w:val="28"/>
          <w:szCs w:val="28"/>
        </w:rPr>
        <w:t>(</w:t>
      </w:r>
      <w:r w:rsidR="000C3A41" w:rsidRPr="000C3A41">
        <w:rPr>
          <w:b/>
          <w:bCs/>
          <w:sz w:val="28"/>
          <w:szCs w:val="28"/>
        </w:rPr>
        <w:t>1</w:t>
      </w:r>
      <w:r w:rsidR="000C3A41">
        <w:rPr>
          <w:b/>
          <w:bCs/>
          <w:sz w:val="28"/>
          <w:szCs w:val="28"/>
        </w:rPr>
        <w:t xml:space="preserve">) </w:t>
      </w:r>
      <w:r w:rsidR="000C3A41" w:rsidRPr="000C3A41">
        <w:rPr>
          <w:b/>
          <w:bCs/>
          <w:sz w:val="28"/>
          <w:szCs w:val="28"/>
        </w:rPr>
        <w:t>2</w:t>
      </w:r>
      <w:r w:rsidR="000C3A41">
        <w:rPr>
          <w:b/>
          <w:bCs/>
          <w:sz w:val="28"/>
          <w:szCs w:val="28"/>
        </w:rPr>
        <w:t>-</w:t>
      </w:r>
      <w:r w:rsidR="000C3A41" w:rsidRPr="000C3A41">
        <w:rPr>
          <w:b/>
          <w:bCs/>
          <w:sz w:val="28"/>
          <w:szCs w:val="28"/>
        </w:rPr>
        <w:t>4</w:t>
      </w:r>
      <w:r w:rsidR="000C3A41">
        <w:rPr>
          <w:b/>
          <w:bCs/>
          <w:sz w:val="28"/>
          <w:szCs w:val="28"/>
        </w:rPr>
        <w:t>-</w:t>
      </w:r>
      <w:r w:rsidR="000C3A41" w:rsidRPr="000C3A41">
        <w:rPr>
          <w:b/>
          <w:bCs/>
          <w:sz w:val="28"/>
          <w:szCs w:val="28"/>
        </w:rPr>
        <w:t>029</w:t>
      </w:r>
      <w:r w:rsidR="000C3A41">
        <w:rPr>
          <w:b/>
          <w:bCs/>
          <w:sz w:val="28"/>
          <w:szCs w:val="28"/>
        </w:rPr>
        <w:t>:</w:t>
      </w:r>
      <w:r w:rsidR="000C3A41" w:rsidRPr="000C3A41">
        <w:rPr>
          <w:b/>
          <w:bCs/>
          <w:sz w:val="28"/>
          <w:szCs w:val="28"/>
        </w:rPr>
        <w:t xml:space="preserve">038, </w:t>
      </w:r>
      <w:r w:rsidR="000C3A41">
        <w:rPr>
          <w:b/>
          <w:bCs/>
          <w:sz w:val="28"/>
          <w:szCs w:val="28"/>
        </w:rPr>
        <w:t>(</w:t>
      </w:r>
      <w:r w:rsidR="000C3A41" w:rsidRPr="000C3A41">
        <w:rPr>
          <w:b/>
          <w:bCs/>
          <w:sz w:val="28"/>
          <w:szCs w:val="28"/>
        </w:rPr>
        <w:t>1</w:t>
      </w:r>
      <w:r w:rsidR="000C3A41">
        <w:rPr>
          <w:b/>
          <w:bCs/>
          <w:sz w:val="28"/>
          <w:szCs w:val="28"/>
        </w:rPr>
        <w:t xml:space="preserve">) </w:t>
      </w:r>
      <w:r w:rsidR="000C3A41" w:rsidRPr="000C3A41">
        <w:rPr>
          <w:b/>
          <w:bCs/>
          <w:sz w:val="28"/>
          <w:szCs w:val="28"/>
        </w:rPr>
        <w:t>2</w:t>
      </w:r>
      <w:r w:rsidR="000C3A41">
        <w:rPr>
          <w:b/>
          <w:bCs/>
          <w:sz w:val="28"/>
          <w:szCs w:val="28"/>
        </w:rPr>
        <w:t>-</w:t>
      </w:r>
      <w:r w:rsidR="000C3A41" w:rsidRPr="000C3A41">
        <w:rPr>
          <w:b/>
          <w:bCs/>
          <w:sz w:val="28"/>
          <w:szCs w:val="28"/>
        </w:rPr>
        <w:t>4</w:t>
      </w:r>
      <w:r w:rsidR="000C3A41">
        <w:rPr>
          <w:b/>
          <w:bCs/>
          <w:sz w:val="28"/>
          <w:szCs w:val="28"/>
        </w:rPr>
        <w:t>-</w:t>
      </w:r>
      <w:r w:rsidR="000C3A41" w:rsidRPr="000C3A41">
        <w:rPr>
          <w:b/>
          <w:bCs/>
          <w:sz w:val="28"/>
          <w:szCs w:val="28"/>
        </w:rPr>
        <w:t>029</w:t>
      </w:r>
      <w:r w:rsidR="000C3A41">
        <w:rPr>
          <w:b/>
          <w:bCs/>
          <w:sz w:val="28"/>
          <w:szCs w:val="28"/>
        </w:rPr>
        <w:t>:</w:t>
      </w:r>
      <w:r w:rsidR="000C3A41" w:rsidRPr="000C3A41">
        <w:rPr>
          <w:b/>
          <w:bCs/>
          <w:sz w:val="28"/>
          <w:szCs w:val="28"/>
        </w:rPr>
        <w:t xml:space="preserve">066, and </w:t>
      </w:r>
      <w:r w:rsidR="000C3A41">
        <w:rPr>
          <w:b/>
          <w:bCs/>
          <w:sz w:val="28"/>
          <w:szCs w:val="28"/>
        </w:rPr>
        <w:t>(</w:t>
      </w:r>
      <w:r w:rsidR="000C3A41" w:rsidRPr="000C3A41">
        <w:rPr>
          <w:b/>
          <w:bCs/>
          <w:sz w:val="28"/>
          <w:szCs w:val="28"/>
        </w:rPr>
        <w:t>1</w:t>
      </w:r>
      <w:r w:rsidR="000C3A41">
        <w:rPr>
          <w:b/>
          <w:bCs/>
          <w:sz w:val="28"/>
          <w:szCs w:val="28"/>
        </w:rPr>
        <w:t xml:space="preserve">) </w:t>
      </w:r>
      <w:r w:rsidR="000C3A41" w:rsidRPr="000C3A41">
        <w:rPr>
          <w:b/>
          <w:bCs/>
          <w:sz w:val="28"/>
          <w:szCs w:val="28"/>
        </w:rPr>
        <w:t>2</w:t>
      </w:r>
      <w:r w:rsidR="000C3A41">
        <w:rPr>
          <w:b/>
          <w:bCs/>
          <w:sz w:val="28"/>
          <w:szCs w:val="28"/>
        </w:rPr>
        <w:t>-</w:t>
      </w:r>
      <w:r w:rsidR="000C3A41" w:rsidRPr="000C3A41">
        <w:rPr>
          <w:b/>
          <w:bCs/>
          <w:sz w:val="28"/>
          <w:szCs w:val="28"/>
        </w:rPr>
        <w:t>4</w:t>
      </w:r>
      <w:r w:rsidR="000C3A41">
        <w:rPr>
          <w:b/>
          <w:bCs/>
          <w:sz w:val="28"/>
          <w:szCs w:val="28"/>
        </w:rPr>
        <w:t>-</w:t>
      </w:r>
      <w:r w:rsidR="000C3A41" w:rsidRPr="000C3A41">
        <w:rPr>
          <w:b/>
          <w:bCs/>
          <w:sz w:val="28"/>
          <w:szCs w:val="28"/>
        </w:rPr>
        <w:t>029</w:t>
      </w:r>
      <w:r w:rsidR="000C3A41">
        <w:rPr>
          <w:b/>
          <w:bCs/>
          <w:sz w:val="28"/>
          <w:szCs w:val="28"/>
        </w:rPr>
        <w:t>:</w:t>
      </w:r>
      <w:r w:rsidR="000C3A41" w:rsidRPr="000C3A41">
        <w:rPr>
          <w:b/>
          <w:bCs/>
          <w:sz w:val="28"/>
          <w:szCs w:val="28"/>
        </w:rPr>
        <w:t>067</w:t>
      </w:r>
    </w:p>
    <w:p w14:paraId="2E934A5D" w14:textId="77777777" w:rsidR="006561F4" w:rsidRDefault="006561F4" w:rsidP="006561F4">
      <w:pPr>
        <w:pStyle w:val="KIndent1"/>
        <w:ind w:left="0"/>
        <w:rPr>
          <w:sz w:val="24"/>
          <w:szCs w:val="24"/>
        </w:rPr>
      </w:pPr>
      <w:r w:rsidRPr="00E842F1">
        <w:rPr>
          <w:sz w:val="24"/>
          <w:szCs w:val="24"/>
        </w:rPr>
        <w:t xml:space="preserve">The table below contains the State’s current estimate of the schedule and significant dates.  </w:t>
      </w:r>
      <w:bookmarkStart w:id="0" w:name="_Toc359759329"/>
      <w:bookmarkStart w:id="1" w:name="_Toc359759353"/>
      <w:bookmarkStart w:id="2" w:name="_Toc359769814"/>
      <w:bookmarkStart w:id="3" w:name="_Toc356415144"/>
      <w:bookmarkStart w:id="4" w:name="_Toc356415270"/>
      <w:bookmarkStart w:id="5" w:name="_Toc356415395"/>
      <w:bookmarkStart w:id="6" w:name="_Toc356415520"/>
      <w:bookmarkStart w:id="7" w:name="_Toc356415644"/>
      <w:bookmarkStart w:id="8" w:name="_Toc356415767"/>
      <w:bookmarkStart w:id="9" w:name="_Toc356415889"/>
      <w:bookmarkStart w:id="10" w:name="_Toc356416010"/>
      <w:bookmarkStart w:id="11" w:name="_Toc356416130"/>
      <w:bookmarkStart w:id="12" w:name="_Toc356417139"/>
      <w:bookmarkStart w:id="13" w:name="_Toc356421248"/>
      <w:bookmarkEnd w:id="0"/>
      <w:bookmarkEnd w:id="1"/>
      <w:bookmarkEnd w:id="2"/>
      <w:bookmarkEnd w:id="3"/>
      <w:bookmarkEnd w:id="4"/>
      <w:bookmarkEnd w:id="5"/>
      <w:bookmarkEnd w:id="6"/>
      <w:bookmarkEnd w:id="7"/>
      <w:bookmarkEnd w:id="8"/>
      <w:bookmarkEnd w:id="9"/>
      <w:bookmarkEnd w:id="10"/>
      <w:bookmarkEnd w:id="11"/>
      <w:bookmarkEnd w:id="12"/>
      <w:bookmarkEnd w:id="13"/>
      <w:r w:rsidRPr="00E842F1">
        <w:rPr>
          <w:sz w:val="24"/>
          <w:szCs w:val="24"/>
        </w:rPr>
        <w:t>All times</w:t>
      </w:r>
      <w:r>
        <w:rPr>
          <w:sz w:val="24"/>
          <w:szCs w:val="24"/>
        </w:rPr>
        <w:t xml:space="preserve"> are Hawaii Standard Time (HST)</w:t>
      </w:r>
      <w:r w:rsidRPr="00706D90">
        <w:rPr>
          <w:sz w:val="24"/>
          <w:szCs w:val="24"/>
        </w:rPr>
        <w:t xml:space="preserve">.  If a component of this schedule, </w:t>
      </w:r>
      <w:r>
        <w:rPr>
          <w:sz w:val="24"/>
          <w:szCs w:val="24"/>
        </w:rPr>
        <w:t>such as "Bid quotes Due Date and Time</w:t>
      </w:r>
      <w:r w:rsidRPr="00706D90">
        <w:rPr>
          <w:sz w:val="24"/>
          <w:szCs w:val="24"/>
        </w:rPr>
        <w:t>" is delayed, the</w:t>
      </w:r>
      <w:r>
        <w:rPr>
          <w:sz w:val="24"/>
          <w:szCs w:val="24"/>
        </w:rPr>
        <w:t xml:space="preserve"> rest of the schedule may</w:t>
      </w:r>
      <w:r w:rsidRPr="00706D90">
        <w:rPr>
          <w:sz w:val="24"/>
          <w:szCs w:val="24"/>
        </w:rPr>
        <w:t xml:space="preserve"> likely be shifted by the same number of days. Any change to the </w:t>
      </w:r>
      <w:r>
        <w:rPr>
          <w:sz w:val="24"/>
          <w:szCs w:val="24"/>
        </w:rPr>
        <w:t>IFB</w:t>
      </w:r>
      <w:r w:rsidRPr="00706D90">
        <w:rPr>
          <w:sz w:val="24"/>
          <w:szCs w:val="24"/>
        </w:rPr>
        <w:t xml:space="preserve"> Schedule and Significant Dates </w:t>
      </w:r>
      <w:r>
        <w:rPr>
          <w:sz w:val="24"/>
          <w:szCs w:val="24"/>
        </w:rPr>
        <w:t xml:space="preserve">prior to the bid quote due date </w:t>
      </w:r>
      <w:r w:rsidRPr="00706D90">
        <w:rPr>
          <w:sz w:val="24"/>
          <w:szCs w:val="24"/>
        </w:rPr>
        <w:t xml:space="preserve">shall be issued by addendum.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5"/>
        <w:gridCol w:w="4675"/>
      </w:tblGrid>
      <w:tr w:rsidR="006561F4" w:rsidRPr="003F2DA7" w14:paraId="620CF211" w14:textId="77777777" w:rsidTr="000740E3">
        <w:tc>
          <w:tcPr>
            <w:tcW w:w="4675" w:type="dxa"/>
            <w:shd w:val="clear" w:color="auto" w:fill="EEECE1"/>
          </w:tcPr>
          <w:p w14:paraId="7C86B89C" w14:textId="77777777" w:rsidR="006561F4" w:rsidRPr="00C7701B" w:rsidRDefault="006561F4" w:rsidP="000740E3">
            <w:pPr>
              <w:suppressAutoHyphens/>
              <w:spacing w:line="240" w:lineRule="atLeast"/>
              <w:rPr>
                <w:rFonts w:cs="Arial"/>
              </w:rPr>
            </w:pPr>
            <w:bookmarkStart w:id="14" w:name="_Hlk500837205"/>
            <w:r w:rsidRPr="00C7701B">
              <w:rPr>
                <w:rFonts w:cs="Arial"/>
              </w:rPr>
              <w:t>Event</w:t>
            </w:r>
          </w:p>
        </w:tc>
        <w:tc>
          <w:tcPr>
            <w:tcW w:w="4675" w:type="dxa"/>
            <w:shd w:val="clear" w:color="auto" w:fill="EEECE1"/>
          </w:tcPr>
          <w:p w14:paraId="57653E1E" w14:textId="77777777" w:rsidR="006561F4" w:rsidRPr="00C7701B" w:rsidRDefault="006561F4" w:rsidP="000740E3">
            <w:pPr>
              <w:suppressAutoHyphens/>
              <w:spacing w:line="240" w:lineRule="atLeast"/>
              <w:rPr>
                <w:rFonts w:cs="Arial"/>
              </w:rPr>
            </w:pPr>
            <w:r w:rsidRPr="00C7701B">
              <w:rPr>
                <w:rFonts w:cs="Arial"/>
              </w:rPr>
              <w:t>Date</w:t>
            </w:r>
          </w:p>
        </w:tc>
      </w:tr>
      <w:tr w:rsidR="006561F4" w:rsidRPr="003F2DA7" w14:paraId="1321119C" w14:textId="77777777" w:rsidTr="000740E3">
        <w:tc>
          <w:tcPr>
            <w:tcW w:w="4675" w:type="dxa"/>
          </w:tcPr>
          <w:p w14:paraId="25AF68F8" w14:textId="77777777" w:rsidR="006561F4" w:rsidRPr="00C7701B" w:rsidRDefault="006561F4" w:rsidP="000740E3">
            <w:pPr>
              <w:suppressAutoHyphens/>
              <w:spacing w:line="240" w:lineRule="atLeast"/>
              <w:rPr>
                <w:rFonts w:cs="Arial"/>
              </w:rPr>
            </w:pPr>
            <w:r w:rsidRPr="00C7701B">
              <w:rPr>
                <w:rFonts w:cs="Arial"/>
              </w:rPr>
              <w:t>Solicitation Release:</w:t>
            </w:r>
          </w:p>
        </w:tc>
        <w:tc>
          <w:tcPr>
            <w:tcW w:w="4675" w:type="dxa"/>
          </w:tcPr>
          <w:p w14:paraId="555AB00F" w14:textId="77777777" w:rsidR="006561F4" w:rsidRPr="00983367" w:rsidRDefault="006561F4" w:rsidP="000740E3">
            <w:pPr>
              <w:suppressAutoHyphens/>
              <w:spacing w:line="240" w:lineRule="atLeast"/>
              <w:rPr>
                <w:rFonts w:cs="Arial"/>
                <w:color w:val="0000FF"/>
              </w:rPr>
            </w:pPr>
            <w:r>
              <w:rPr>
                <w:rFonts w:cs="Arial"/>
                <w:color w:val="0000FF"/>
              </w:rPr>
              <w:t>5/15/2026</w:t>
            </w:r>
          </w:p>
        </w:tc>
      </w:tr>
      <w:tr w:rsidR="006561F4" w:rsidRPr="003F2DA7" w14:paraId="1329008E" w14:textId="77777777" w:rsidTr="000740E3">
        <w:tc>
          <w:tcPr>
            <w:tcW w:w="4675" w:type="dxa"/>
          </w:tcPr>
          <w:p w14:paraId="76AD3F32" w14:textId="77777777" w:rsidR="006561F4" w:rsidRPr="00C7701B" w:rsidRDefault="006561F4" w:rsidP="000740E3">
            <w:pPr>
              <w:suppressAutoHyphens/>
              <w:spacing w:line="240" w:lineRule="atLeast"/>
              <w:rPr>
                <w:rFonts w:cs="Arial"/>
              </w:rPr>
            </w:pPr>
            <w:r w:rsidRPr="00C7701B">
              <w:rPr>
                <w:rFonts w:cs="Arial"/>
              </w:rPr>
              <w:t>Question Submittal Deadline:</w:t>
            </w:r>
          </w:p>
        </w:tc>
        <w:tc>
          <w:tcPr>
            <w:tcW w:w="4675" w:type="dxa"/>
          </w:tcPr>
          <w:p w14:paraId="6F5E63D6" w14:textId="77777777" w:rsidR="006561F4" w:rsidRPr="00983367" w:rsidRDefault="006561F4" w:rsidP="000740E3">
            <w:pPr>
              <w:suppressAutoHyphens/>
              <w:spacing w:line="240" w:lineRule="atLeast"/>
              <w:rPr>
                <w:rFonts w:cs="Arial"/>
                <w:color w:val="0000FF"/>
              </w:rPr>
            </w:pPr>
            <w:r>
              <w:rPr>
                <w:rFonts w:cs="Arial"/>
                <w:color w:val="0000FF"/>
              </w:rPr>
              <w:t>5/21/2026, 4:00 P.M.</w:t>
            </w:r>
          </w:p>
        </w:tc>
      </w:tr>
      <w:tr w:rsidR="006561F4" w:rsidRPr="003F2DA7" w14:paraId="7950CB81" w14:textId="77777777" w:rsidTr="000740E3">
        <w:tc>
          <w:tcPr>
            <w:tcW w:w="4675" w:type="dxa"/>
          </w:tcPr>
          <w:p w14:paraId="27070C26" w14:textId="77777777" w:rsidR="006561F4" w:rsidRPr="00C7701B" w:rsidRDefault="006561F4" w:rsidP="000740E3">
            <w:pPr>
              <w:suppressAutoHyphens/>
              <w:spacing w:line="240" w:lineRule="atLeast"/>
              <w:rPr>
                <w:rFonts w:cs="Arial"/>
              </w:rPr>
            </w:pPr>
            <w:r w:rsidRPr="00C7701B">
              <w:rPr>
                <w:rFonts w:cs="Arial"/>
              </w:rPr>
              <w:t>Answers to Questions:</w:t>
            </w:r>
          </w:p>
        </w:tc>
        <w:tc>
          <w:tcPr>
            <w:tcW w:w="4675" w:type="dxa"/>
          </w:tcPr>
          <w:p w14:paraId="5469C8FF" w14:textId="77777777" w:rsidR="006561F4" w:rsidRPr="00983367" w:rsidRDefault="006561F4" w:rsidP="000740E3">
            <w:pPr>
              <w:suppressAutoHyphens/>
              <w:spacing w:line="240" w:lineRule="atLeast"/>
              <w:rPr>
                <w:rFonts w:cs="Arial"/>
                <w:color w:val="0000FF"/>
              </w:rPr>
            </w:pPr>
            <w:r>
              <w:rPr>
                <w:rFonts w:cs="Arial"/>
                <w:color w:val="0000FF"/>
              </w:rPr>
              <w:t>5/22/2026, 4:00 P.M.</w:t>
            </w:r>
          </w:p>
        </w:tc>
      </w:tr>
      <w:tr w:rsidR="006561F4" w:rsidRPr="003F2DA7" w14:paraId="4F25B97C" w14:textId="77777777" w:rsidTr="000740E3">
        <w:tc>
          <w:tcPr>
            <w:tcW w:w="4675" w:type="dxa"/>
          </w:tcPr>
          <w:p w14:paraId="2B9C1125" w14:textId="77777777" w:rsidR="006561F4" w:rsidRPr="00C7701B" w:rsidRDefault="006561F4" w:rsidP="000740E3">
            <w:pPr>
              <w:suppressAutoHyphens/>
              <w:spacing w:line="240" w:lineRule="atLeast"/>
              <w:rPr>
                <w:rFonts w:cs="Arial"/>
              </w:rPr>
            </w:pPr>
            <w:r>
              <w:rPr>
                <w:rFonts w:cs="Arial"/>
              </w:rPr>
              <w:t>Bid quote</w:t>
            </w:r>
            <w:r w:rsidRPr="00C7701B">
              <w:rPr>
                <w:rFonts w:cs="Arial"/>
              </w:rPr>
              <w:t xml:space="preserve"> Due Date and Time:</w:t>
            </w:r>
          </w:p>
        </w:tc>
        <w:tc>
          <w:tcPr>
            <w:tcW w:w="4675" w:type="dxa"/>
          </w:tcPr>
          <w:p w14:paraId="1D4A86E5" w14:textId="77777777" w:rsidR="006561F4" w:rsidRPr="00983367" w:rsidRDefault="006561F4" w:rsidP="000740E3">
            <w:pPr>
              <w:suppressAutoHyphens/>
              <w:spacing w:line="240" w:lineRule="atLeast"/>
              <w:rPr>
                <w:rFonts w:cs="Arial"/>
                <w:color w:val="0000FF"/>
              </w:rPr>
            </w:pPr>
            <w:r>
              <w:rPr>
                <w:rFonts w:cs="Arial"/>
                <w:color w:val="0000FF"/>
              </w:rPr>
              <w:t xml:space="preserve">5/26/2026, 2:00 </w:t>
            </w:r>
            <w:r w:rsidRPr="00983367">
              <w:rPr>
                <w:rFonts w:cs="Arial"/>
                <w:color w:val="0000FF"/>
              </w:rPr>
              <w:t>P.M.</w:t>
            </w:r>
          </w:p>
        </w:tc>
      </w:tr>
      <w:tr w:rsidR="006561F4" w:rsidRPr="003F2DA7" w14:paraId="4890D364" w14:textId="77777777" w:rsidTr="000740E3">
        <w:tc>
          <w:tcPr>
            <w:tcW w:w="4675" w:type="dxa"/>
          </w:tcPr>
          <w:p w14:paraId="7549B005" w14:textId="77777777" w:rsidR="006561F4" w:rsidRPr="00C7701B" w:rsidRDefault="006561F4" w:rsidP="000740E3">
            <w:pPr>
              <w:suppressAutoHyphens/>
              <w:spacing w:line="240" w:lineRule="atLeast"/>
              <w:rPr>
                <w:rFonts w:cs="Arial"/>
              </w:rPr>
            </w:pPr>
            <w:r>
              <w:rPr>
                <w:rFonts w:cs="Arial"/>
              </w:rPr>
              <w:t>Evaluations</w:t>
            </w:r>
          </w:p>
        </w:tc>
        <w:tc>
          <w:tcPr>
            <w:tcW w:w="4675" w:type="dxa"/>
          </w:tcPr>
          <w:p w14:paraId="26F2B830" w14:textId="444C8BD2" w:rsidR="006561F4" w:rsidRPr="00983367" w:rsidRDefault="005B19AB" w:rsidP="000740E3">
            <w:pPr>
              <w:suppressAutoHyphens/>
              <w:spacing w:line="240" w:lineRule="atLeast"/>
              <w:rPr>
                <w:rFonts w:cs="Arial"/>
                <w:color w:val="0000FF"/>
              </w:rPr>
            </w:pPr>
            <w:r>
              <w:rPr>
                <w:rFonts w:cs="Arial"/>
                <w:color w:val="0000FF"/>
              </w:rPr>
              <w:t>5</w:t>
            </w:r>
            <w:r w:rsidR="006561F4">
              <w:rPr>
                <w:rFonts w:cs="Arial"/>
                <w:color w:val="0000FF"/>
              </w:rPr>
              <w:t xml:space="preserve">/26 </w:t>
            </w:r>
            <w:r>
              <w:rPr>
                <w:rFonts w:cs="Arial"/>
                <w:color w:val="0000FF"/>
              </w:rPr>
              <w:t>/2026</w:t>
            </w:r>
            <w:r w:rsidR="006561F4">
              <w:rPr>
                <w:rFonts w:cs="Arial"/>
                <w:color w:val="0000FF"/>
              </w:rPr>
              <w:t xml:space="preserve">– </w:t>
            </w:r>
            <w:r>
              <w:rPr>
                <w:rFonts w:cs="Arial"/>
                <w:color w:val="0000FF"/>
              </w:rPr>
              <w:t>5</w:t>
            </w:r>
            <w:r w:rsidR="006561F4">
              <w:rPr>
                <w:rFonts w:cs="Arial"/>
                <w:color w:val="0000FF"/>
              </w:rPr>
              <w:t>/28/202</w:t>
            </w:r>
            <w:r>
              <w:rPr>
                <w:rFonts w:cs="Arial"/>
                <w:color w:val="0000FF"/>
              </w:rPr>
              <w:t>6</w:t>
            </w:r>
          </w:p>
        </w:tc>
      </w:tr>
      <w:tr w:rsidR="006561F4" w:rsidRPr="003F2DA7" w14:paraId="5EE3B913" w14:textId="77777777" w:rsidTr="000740E3">
        <w:tc>
          <w:tcPr>
            <w:tcW w:w="4675" w:type="dxa"/>
          </w:tcPr>
          <w:p w14:paraId="770A87E1" w14:textId="77777777" w:rsidR="006561F4" w:rsidRPr="00C7701B" w:rsidRDefault="006561F4" w:rsidP="000740E3">
            <w:pPr>
              <w:suppressAutoHyphens/>
              <w:spacing w:line="240" w:lineRule="atLeast"/>
              <w:rPr>
                <w:rFonts w:cs="Arial"/>
              </w:rPr>
            </w:pPr>
            <w:r w:rsidRPr="00C7701B">
              <w:rPr>
                <w:rFonts w:cs="Arial"/>
              </w:rPr>
              <w:t>Estimated Date for Discussions, if necessary</w:t>
            </w:r>
          </w:p>
        </w:tc>
        <w:tc>
          <w:tcPr>
            <w:tcW w:w="4675" w:type="dxa"/>
          </w:tcPr>
          <w:p w14:paraId="6A0BB9CC" w14:textId="77777777" w:rsidR="006561F4" w:rsidRPr="00983367" w:rsidRDefault="006561F4" w:rsidP="000740E3">
            <w:pPr>
              <w:suppressAutoHyphens/>
              <w:spacing w:line="240" w:lineRule="atLeast"/>
              <w:rPr>
                <w:rFonts w:cs="Arial"/>
                <w:color w:val="0000FF"/>
              </w:rPr>
            </w:pPr>
            <w:r>
              <w:rPr>
                <w:rFonts w:cs="Arial"/>
                <w:color w:val="0000FF"/>
              </w:rPr>
              <w:t>TBD</w:t>
            </w:r>
          </w:p>
        </w:tc>
      </w:tr>
      <w:tr w:rsidR="006561F4" w:rsidRPr="003F2DA7" w14:paraId="38A319A3" w14:textId="77777777" w:rsidTr="000740E3">
        <w:tc>
          <w:tcPr>
            <w:tcW w:w="4675" w:type="dxa"/>
          </w:tcPr>
          <w:p w14:paraId="613FF24E" w14:textId="77777777" w:rsidR="006561F4" w:rsidRPr="00C7701B" w:rsidRDefault="006561F4" w:rsidP="000740E3">
            <w:pPr>
              <w:suppressAutoHyphens/>
              <w:spacing w:line="240" w:lineRule="atLeast"/>
              <w:rPr>
                <w:rFonts w:cs="Arial"/>
              </w:rPr>
            </w:pPr>
            <w:r w:rsidRPr="00C7701B">
              <w:rPr>
                <w:rFonts w:cs="Arial"/>
              </w:rPr>
              <w:t>Estimated Due Date for BAFO, if necessary</w:t>
            </w:r>
          </w:p>
        </w:tc>
        <w:tc>
          <w:tcPr>
            <w:tcW w:w="4675" w:type="dxa"/>
          </w:tcPr>
          <w:p w14:paraId="6D3F8375" w14:textId="77777777" w:rsidR="006561F4" w:rsidRPr="00983367" w:rsidRDefault="006561F4" w:rsidP="000740E3">
            <w:pPr>
              <w:suppressAutoHyphens/>
              <w:spacing w:line="240" w:lineRule="atLeast"/>
              <w:rPr>
                <w:rFonts w:cs="Arial"/>
                <w:color w:val="0000FF"/>
              </w:rPr>
            </w:pPr>
            <w:r>
              <w:rPr>
                <w:rFonts w:cs="Arial"/>
                <w:color w:val="0000FF"/>
              </w:rPr>
              <w:t>TBD</w:t>
            </w:r>
          </w:p>
        </w:tc>
      </w:tr>
      <w:tr w:rsidR="006561F4" w:rsidRPr="003F2DA7" w14:paraId="51B8B57E" w14:textId="77777777" w:rsidTr="000740E3">
        <w:tc>
          <w:tcPr>
            <w:tcW w:w="4675" w:type="dxa"/>
          </w:tcPr>
          <w:p w14:paraId="641B5F0D" w14:textId="77777777" w:rsidR="006561F4" w:rsidRPr="00C7701B" w:rsidRDefault="006561F4" w:rsidP="000740E3">
            <w:pPr>
              <w:suppressAutoHyphens/>
              <w:spacing w:line="240" w:lineRule="atLeast"/>
              <w:rPr>
                <w:rFonts w:cs="Arial"/>
              </w:rPr>
            </w:pPr>
            <w:r w:rsidRPr="00C7701B">
              <w:rPr>
                <w:rFonts w:cs="Arial"/>
              </w:rPr>
              <w:t>Anticipated Award Date:</w:t>
            </w:r>
          </w:p>
        </w:tc>
        <w:tc>
          <w:tcPr>
            <w:tcW w:w="4675" w:type="dxa"/>
          </w:tcPr>
          <w:p w14:paraId="091A5197" w14:textId="77777777" w:rsidR="006561F4" w:rsidRPr="00983367" w:rsidRDefault="006561F4" w:rsidP="000740E3">
            <w:pPr>
              <w:suppressAutoHyphens/>
              <w:spacing w:line="240" w:lineRule="atLeast"/>
              <w:rPr>
                <w:rFonts w:cs="Arial"/>
                <w:color w:val="0000FF"/>
              </w:rPr>
            </w:pPr>
            <w:r>
              <w:rPr>
                <w:rFonts w:cs="Arial"/>
                <w:color w:val="0000FF"/>
              </w:rPr>
              <w:t>5/28/2026 2:00 P.M.</w:t>
            </w:r>
          </w:p>
        </w:tc>
      </w:tr>
      <w:bookmarkEnd w:id="14"/>
    </w:tbl>
    <w:p w14:paraId="134C9898" w14:textId="77777777" w:rsidR="006561F4" w:rsidRPr="004E1909" w:rsidRDefault="006561F4">
      <w:pPr>
        <w:rPr>
          <w:rFonts w:ascii="Arial" w:hAnsi="Arial" w:cs="Arial"/>
        </w:rPr>
      </w:pPr>
    </w:p>
    <w:p w14:paraId="5F2065ED" w14:textId="47C516D2" w:rsidR="006561F4" w:rsidRPr="004E1909" w:rsidRDefault="006561F4">
      <w:pPr>
        <w:rPr>
          <w:rFonts w:ascii="Arial" w:hAnsi="Arial" w:cs="Arial"/>
        </w:rPr>
      </w:pPr>
      <w:r w:rsidRPr="004E1909">
        <w:rPr>
          <w:rFonts w:ascii="Arial" w:hAnsi="Arial" w:cs="Arial"/>
        </w:rPr>
        <w:t xml:space="preserve">*Supporting documentation must be either uploaded to HIePRO or submitted to </w:t>
      </w:r>
      <w:hyperlink r:id="rId5" w:history="1">
        <w:r w:rsidRPr="004E1909">
          <w:rPr>
            <w:rStyle w:val="Hyperlink"/>
            <w:rFonts w:ascii="Arial" w:hAnsi="Arial" w:cs="Arial"/>
          </w:rPr>
          <w:t>darlene.bryant@hawaii.gov</w:t>
        </w:r>
      </w:hyperlink>
      <w:r w:rsidRPr="004E1909">
        <w:rPr>
          <w:rFonts w:ascii="Arial" w:hAnsi="Arial" w:cs="Arial"/>
        </w:rPr>
        <w:t>.</w:t>
      </w:r>
    </w:p>
    <w:p w14:paraId="4BCFEB68" w14:textId="4A5AAA23" w:rsidR="006561F4" w:rsidRPr="00403ACC" w:rsidRDefault="00403ACC">
      <w:pPr>
        <w:rPr>
          <w:rFonts w:ascii="Arial" w:hAnsi="Arial" w:cs="Arial"/>
          <w:b/>
          <w:bCs/>
        </w:rPr>
      </w:pPr>
      <w:r>
        <w:rPr>
          <w:rFonts w:ascii="Arial" w:hAnsi="Arial" w:cs="Arial"/>
          <w:b/>
          <w:bCs/>
        </w:rPr>
        <w:t xml:space="preserve">A.  </w:t>
      </w:r>
      <w:r w:rsidR="006561F4" w:rsidRPr="00403ACC">
        <w:rPr>
          <w:rFonts w:ascii="Arial" w:hAnsi="Arial" w:cs="Arial"/>
          <w:b/>
          <w:bCs/>
        </w:rPr>
        <w:t>SCOPE OF WORK (SOW)</w:t>
      </w:r>
    </w:p>
    <w:p w14:paraId="1D469C08" w14:textId="39FF59B9" w:rsidR="004E1909" w:rsidRPr="004E1909" w:rsidRDefault="004E1909" w:rsidP="004E1909">
      <w:pPr>
        <w:jc w:val="both"/>
        <w:rPr>
          <w:rFonts w:ascii="Arial" w:hAnsi="Arial" w:cs="Arial"/>
          <w:bCs/>
          <w:color w:val="000000"/>
        </w:rPr>
      </w:pPr>
      <w:r w:rsidRPr="004E1909">
        <w:rPr>
          <w:rFonts w:ascii="Arial" w:hAnsi="Arial" w:cs="Arial"/>
          <w:bCs/>
          <w:color w:val="000000"/>
        </w:rPr>
        <w:t>The Kona Low weather events of 2026 brought heavy rains that caused damage to infrastructure and property. To decrease the risk to public health and safety, proposed work in the designated stream and drainage areas is to remove debris, trash, sediment</w:t>
      </w:r>
      <w:r>
        <w:rPr>
          <w:rFonts w:ascii="Arial" w:hAnsi="Arial" w:cs="Arial"/>
          <w:bCs/>
          <w:color w:val="000000"/>
        </w:rPr>
        <w:t xml:space="preserve">/rock </w:t>
      </w:r>
      <w:r w:rsidRPr="004E1909">
        <w:rPr>
          <w:rFonts w:ascii="Arial" w:hAnsi="Arial" w:cs="Arial"/>
          <w:bCs/>
          <w:color w:val="000000"/>
        </w:rPr>
        <w:t>build-up, and unwanted vegetation to keep waterways open to accommodate drainage requirements.</w:t>
      </w:r>
    </w:p>
    <w:p w14:paraId="622E54A7" w14:textId="46C9ECC9" w:rsidR="005B10F4" w:rsidRPr="004E1909" w:rsidRDefault="004E1909" w:rsidP="005B10F4">
      <w:pPr>
        <w:ind w:left="720" w:hanging="720"/>
        <w:jc w:val="both"/>
        <w:rPr>
          <w:rFonts w:ascii="Arial" w:hAnsi="Arial" w:cs="Arial"/>
        </w:rPr>
      </w:pPr>
      <w:r w:rsidRPr="00925C61">
        <w:rPr>
          <w:rFonts w:ascii="Arial" w:hAnsi="Arial" w:cs="Arial"/>
        </w:rPr>
        <w:t xml:space="preserve">Item 1:  </w:t>
      </w:r>
      <w:r w:rsidR="00925C61">
        <w:rPr>
          <w:rFonts w:ascii="Arial" w:hAnsi="Arial" w:cs="Arial"/>
        </w:rPr>
        <w:t>Sediment removal</w:t>
      </w:r>
      <w:r w:rsidR="00925C61" w:rsidRPr="00925C61">
        <w:rPr>
          <w:rFonts w:ascii="Arial" w:hAnsi="Arial" w:cs="Arial"/>
        </w:rPr>
        <w:t xml:space="preserve"> </w:t>
      </w:r>
      <w:r w:rsidR="00551A4F">
        <w:rPr>
          <w:rFonts w:ascii="Arial" w:hAnsi="Arial" w:cs="Arial"/>
        </w:rPr>
        <w:t xml:space="preserve">to promote positive waterflow </w:t>
      </w:r>
      <w:r w:rsidR="00925C61" w:rsidRPr="00925C61">
        <w:rPr>
          <w:rFonts w:ascii="Arial" w:hAnsi="Arial" w:cs="Arial"/>
        </w:rPr>
        <w:t xml:space="preserve">will be accomplished by mechanical means using a combination of three methods – inland, in-water with a platform, and in-water with drive-in equipment. A crane with a clamshell bucket and/or an excavator with a long-reach arm will be stationed along the bank and adjacent area of the </w:t>
      </w:r>
      <w:r w:rsidR="00C737AF">
        <w:rPr>
          <w:rFonts w:ascii="Arial" w:hAnsi="Arial" w:cs="Arial"/>
        </w:rPr>
        <w:t xml:space="preserve">waterway </w:t>
      </w:r>
      <w:r w:rsidR="00925C61" w:rsidRPr="00925C61">
        <w:rPr>
          <w:rFonts w:ascii="Arial" w:hAnsi="Arial" w:cs="Arial"/>
        </w:rPr>
        <w:t xml:space="preserve">to perform </w:t>
      </w:r>
      <w:r w:rsidR="00C737AF">
        <w:rPr>
          <w:rFonts w:ascii="Arial" w:hAnsi="Arial" w:cs="Arial"/>
        </w:rPr>
        <w:t>the</w:t>
      </w:r>
      <w:r w:rsidR="00925C61" w:rsidRPr="00925C61">
        <w:rPr>
          <w:rFonts w:ascii="Arial" w:hAnsi="Arial" w:cs="Arial"/>
        </w:rPr>
        <w:t xml:space="preserve"> work. Heavy equipment will not be allowed on existing stream levees. For areas where the crane and long-reach arm excavator are unable to access, sediment can be dredged in-water with a platform </w:t>
      </w:r>
      <w:r w:rsidR="00925C61" w:rsidRPr="00925C61">
        <w:rPr>
          <w:rFonts w:ascii="Arial" w:hAnsi="Arial" w:cs="Arial"/>
        </w:rPr>
        <w:lastRenderedPageBreak/>
        <w:t xml:space="preserve">or equipment can be placed into the waterway. To install the platform, the area in the stream where the platform will enter the stream will be initially dredged from land. A crane or excavator on the platform will dredge the remainder of the sediment unreachable from inland using a clamshell bucket. If the equipment has high enough axles such that the stream is not exposed to the underside of the excavator, then the excavator can be driven into the waterway to dredge areas inaccessible from the inland method. </w:t>
      </w:r>
      <w:r w:rsidR="005B10F4" w:rsidRPr="004E1909">
        <w:rPr>
          <w:rFonts w:ascii="Arial" w:hAnsi="Arial" w:cs="Arial"/>
        </w:rPr>
        <w:t xml:space="preserve">All work will be done to the satisfaction of the ODLO. All </w:t>
      </w:r>
      <w:r w:rsidR="005B10F4">
        <w:rPr>
          <w:rFonts w:ascii="Arial" w:hAnsi="Arial" w:cs="Arial"/>
        </w:rPr>
        <w:t xml:space="preserve">sediment, </w:t>
      </w:r>
      <w:r w:rsidR="005B10F4" w:rsidRPr="004E1909">
        <w:rPr>
          <w:rFonts w:ascii="Arial" w:hAnsi="Arial" w:cs="Arial"/>
        </w:rPr>
        <w:t xml:space="preserve">vegetation and debris shall be disposed of off-site at an authorized facility.  </w:t>
      </w:r>
    </w:p>
    <w:p w14:paraId="2E3AFEDC" w14:textId="267287BA" w:rsidR="00925C61" w:rsidRPr="00925C61" w:rsidRDefault="00925C61" w:rsidP="00925C61">
      <w:pPr>
        <w:ind w:left="720" w:hanging="720"/>
        <w:jc w:val="both"/>
        <w:rPr>
          <w:rFonts w:ascii="Arial" w:hAnsi="Arial" w:cs="Arial"/>
        </w:rPr>
      </w:pPr>
    </w:p>
    <w:p w14:paraId="024D93DB" w14:textId="6E8F87AA" w:rsidR="004E1909" w:rsidRPr="004E1909" w:rsidRDefault="004E1909" w:rsidP="00C737AF">
      <w:pPr>
        <w:ind w:left="720"/>
        <w:jc w:val="both"/>
        <w:rPr>
          <w:rFonts w:ascii="Arial" w:hAnsi="Arial" w:cs="Arial"/>
        </w:rPr>
      </w:pPr>
      <w:r w:rsidRPr="004E1909">
        <w:rPr>
          <w:rFonts w:ascii="Arial" w:hAnsi="Arial" w:cs="Arial"/>
        </w:rPr>
        <w:t>State of Hawaii registered herbicides for use in streams shall be applied to the freshly cut surfaces</w:t>
      </w:r>
      <w:r w:rsidR="00C737AF">
        <w:rPr>
          <w:rFonts w:ascii="Arial" w:hAnsi="Arial" w:cs="Arial"/>
        </w:rPr>
        <w:t xml:space="preserve"> if there is vegetation growing in the waterway</w:t>
      </w:r>
      <w:r w:rsidRPr="004E1909">
        <w:rPr>
          <w:rFonts w:ascii="Arial" w:hAnsi="Arial" w:cs="Arial"/>
        </w:rPr>
        <w:t xml:space="preserve">. All herbicide applications shall be conducted in compliance with the label directions and comply with all Federal and State laws and regulations. The </w:t>
      </w:r>
      <w:proofErr w:type="gramStart"/>
      <w:r w:rsidRPr="004E1909">
        <w:rPr>
          <w:rFonts w:ascii="Arial" w:hAnsi="Arial" w:cs="Arial"/>
        </w:rPr>
        <w:t>applicator</w:t>
      </w:r>
      <w:proofErr w:type="gramEnd"/>
      <w:r w:rsidRPr="004E1909">
        <w:rPr>
          <w:rFonts w:ascii="Arial" w:hAnsi="Arial" w:cs="Arial"/>
        </w:rPr>
        <w:t xml:space="preserve"> shall be solely responsible for the efficacy of the application, control, and any off-target damage caused by any herbicide application. </w:t>
      </w:r>
      <w:r w:rsidR="00F1517D">
        <w:rPr>
          <w:rFonts w:ascii="Arial" w:hAnsi="Arial" w:cs="Arial"/>
        </w:rPr>
        <w:t>Contractors will fill out and submit to ODLO the Herbicide Form if herbicide is used.</w:t>
      </w:r>
    </w:p>
    <w:p w14:paraId="752DD900" w14:textId="2B7FA3A6" w:rsidR="004E1909" w:rsidRPr="004E1909" w:rsidRDefault="004E1909" w:rsidP="00925C61">
      <w:pPr>
        <w:ind w:left="720" w:hanging="720"/>
        <w:jc w:val="both"/>
        <w:rPr>
          <w:rFonts w:ascii="Arial" w:hAnsi="Arial" w:cs="Arial"/>
        </w:rPr>
      </w:pPr>
      <w:r w:rsidRPr="004E1909">
        <w:rPr>
          <w:rFonts w:ascii="Arial" w:hAnsi="Arial" w:cs="Arial"/>
        </w:rPr>
        <w:t>Item 2. Semi-annual maintenance to begin at six (6)</w:t>
      </w:r>
      <w:r w:rsidR="00C737AF">
        <w:rPr>
          <w:rFonts w:ascii="Arial" w:hAnsi="Arial" w:cs="Arial"/>
        </w:rPr>
        <w:t xml:space="preserve"> </w:t>
      </w:r>
      <w:r w:rsidRPr="004E1909">
        <w:rPr>
          <w:rFonts w:ascii="Arial" w:hAnsi="Arial" w:cs="Arial"/>
        </w:rPr>
        <w:t xml:space="preserve">month intervals after work is completed satisfactorily. Maintenance will be conducted in the designated area of the stream bed with the same scope of work as Item 1. </w:t>
      </w:r>
    </w:p>
    <w:p w14:paraId="57A23B90" w14:textId="56D37F88" w:rsidR="00CE7804" w:rsidRDefault="004E1909" w:rsidP="00CE7804">
      <w:pPr>
        <w:ind w:left="720" w:hanging="720"/>
        <w:jc w:val="both"/>
        <w:rPr>
          <w:rFonts w:ascii="Arial" w:hAnsi="Arial" w:cs="Arial"/>
        </w:rPr>
      </w:pPr>
      <w:r w:rsidRPr="004E1909">
        <w:rPr>
          <w:rFonts w:ascii="Arial" w:hAnsi="Arial" w:cs="Arial"/>
        </w:rPr>
        <w:t xml:space="preserve">Item 3. ODLO reserves the right to activate the Vendor for two (2) emergency or unscheduled vegetation clearing outside the standard 6-month interval. The Vendor must mobilize crew and equipment to the designated area within forty-eight (48) hours of receiving written or electronic notice from the ODLO. Emergency work will be billed at the </w:t>
      </w:r>
      <w:r w:rsidR="008401A9">
        <w:rPr>
          <w:rFonts w:ascii="Arial" w:hAnsi="Arial" w:cs="Arial"/>
        </w:rPr>
        <w:t>bid quote</w:t>
      </w:r>
      <w:r w:rsidRPr="004E1909">
        <w:rPr>
          <w:rFonts w:ascii="Arial" w:hAnsi="Arial" w:cs="Arial"/>
        </w:rPr>
        <w:t xml:space="preserve"> fee</w:t>
      </w:r>
      <w:r w:rsidR="00DE4DB3">
        <w:rPr>
          <w:rFonts w:ascii="Arial" w:hAnsi="Arial" w:cs="Arial"/>
        </w:rPr>
        <w:t>.</w:t>
      </w:r>
      <w:r w:rsidR="00CE7804">
        <w:rPr>
          <w:rFonts w:ascii="Arial" w:hAnsi="Arial" w:cs="Arial"/>
        </w:rPr>
        <w:t xml:space="preserve"> </w:t>
      </w:r>
      <w:r w:rsidRPr="004E1909">
        <w:rPr>
          <w:rFonts w:ascii="Arial" w:hAnsi="Arial" w:cs="Arial"/>
        </w:rPr>
        <w:t xml:space="preserve"> All emergency work must adhere to the same scope of work as Item 1. </w:t>
      </w:r>
    </w:p>
    <w:p w14:paraId="46CE0D11" w14:textId="09F358CC" w:rsidR="00403ACC" w:rsidRDefault="00403ACC" w:rsidP="00CE7804">
      <w:pPr>
        <w:ind w:left="720" w:hanging="720"/>
        <w:jc w:val="both"/>
        <w:rPr>
          <w:rFonts w:ascii="Arial" w:hAnsi="Arial" w:cs="Arial"/>
          <w:b/>
          <w:bCs/>
        </w:rPr>
      </w:pPr>
      <w:r>
        <w:rPr>
          <w:rFonts w:ascii="Arial" w:hAnsi="Arial" w:cs="Arial"/>
          <w:b/>
          <w:bCs/>
        </w:rPr>
        <w:t>B.  GENERAL NOTES:</w:t>
      </w:r>
    </w:p>
    <w:p w14:paraId="017E46CD"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All work shall be done between 8:00 a.m. to 4:30 p.m., Monday through Friday (excluding State holidays) except with the prior approval of ODLO.</w:t>
      </w:r>
    </w:p>
    <w:p w14:paraId="646EE2B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 xml:space="preserve">The Contractor shall be responsible for verifying the location of all utilities and structures. Any damage, injury, and/or loss to any property resulting from the performance of the work shall be the sole responsibility of the </w:t>
      </w:r>
      <w:proofErr w:type="gramStart"/>
      <w:r w:rsidRPr="00403ACC">
        <w:rPr>
          <w:rFonts w:ascii="Arial" w:hAnsi="Arial" w:cs="Arial"/>
        </w:rPr>
        <w:t>Contractor, and</w:t>
      </w:r>
      <w:proofErr w:type="gramEnd"/>
      <w:r w:rsidRPr="00403ACC">
        <w:rPr>
          <w:rFonts w:ascii="Arial" w:hAnsi="Arial" w:cs="Arial"/>
        </w:rPr>
        <w:t xml:space="preserve"> shall be remedied promptly by the Contractor at his own expense.</w:t>
      </w:r>
    </w:p>
    <w:p w14:paraId="0CFC61D3"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will be provided contact information for the sites to coordinate physical access to the site, if needed.</w:t>
      </w:r>
    </w:p>
    <w:p w14:paraId="4941845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lastRenderedPageBreak/>
        <w:t>The Contractor shall provide safety signs, barricade, and other devices necessary for the safety and convenience of the general public.</w:t>
      </w:r>
    </w:p>
    <w:p w14:paraId="717EC948" w14:textId="23E8A57D" w:rsidR="00403ACC" w:rsidRPr="00403ACC" w:rsidRDefault="00403ACC" w:rsidP="00403ACC">
      <w:pPr>
        <w:numPr>
          <w:ilvl w:val="0"/>
          <w:numId w:val="1"/>
        </w:numPr>
        <w:ind w:left="1080"/>
        <w:jc w:val="both"/>
        <w:rPr>
          <w:rFonts w:ascii="Arial" w:hAnsi="Arial" w:cs="Arial"/>
        </w:rPr>
      </w:pPr>
      <w:r w:rsidRPr="00403ACC">
        <w:rPr>
          <w:rFonts w:ascii="Arial" w:hAnsi="Arial" w:cs="Arial"/>
        </w:rPr>
        <w:t xml:space="preserve">The Contractor shall observe all applicable Federal, State, and Municipal acts, statutes, </w:t>
      </w:r>
      <w:r w:rsidR="00B04E3D">
        <w:rPr>
          <w:rFonts w:ascii="Arial" w:hAnsi="Arial" w:cs="Arial"/>
        </w:rPr>
        <w:t>ordinances</w:t>
      </w:r>
      <w:r w:rsidRPr="00403ACC">
        <w:rPr>
          <w:rFonts w:ascii="Arial" w:hAnsi="Arial" w:cs="Arial"/>
        </w:rPr>
        <w:t xml:space="preserve">, and rules </w:t>
      </w:r>
      <w:r w:rsidR="00B04E3D">
        <w:rPr>
          <w:rFonts w:ascii="Arial" w:hAnsi="Arial" w:cs="Arial"/>
        </w:rPr>
        <w:t>of</w:t>
      </w:r>
      <w:r w:rsidRPr="00403ACC">
        <w:rPr>
          <w:rFonts w:ascii="Arial" w:hAnsi="Arial" w:cs="Arial"/>
        </w:rPr>
        <w:t xml:space="preserve"> the performance of this job.</w:t>
      </w:r>
    </w:p>
    <w:p w14:paraId="27FCBA88"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bid award shall be based on the availability of funds.</w:t>
      </w:r>
    </w:p>
    <w:p w14:paraId="258CB220" w14:textId="77777777" w:rsidR="00403ACC" w:rsidRDefault="00403ACC" w:rsidP="00403ACC">
      <w:pPr>
        <w:numPr>
          <w:ilvl w:val="0"/>
          <w:numId w:val="1"/>
        </w:numPr>
        <w:ind w:left="1080"/>
        <w:jc w:val="both"/>
        <w:rPr>
          <w:rFonts w:ascii="Arial" w:hAnsi="Arial" w:cs="Arial"/>
        </w:rPr>
      </w:pPr>
      <w:r w:rsidRPr="00403ACC">
        <w:rPr>
          <w:rFonts w:ascii="Arial" w:hAnsi="Arial" w:cs="Arial"/>
        </w:rPr>
        <w:t>Submission of bid shall be the evidence that the Contractor understands the scope of the job described herein.</w:t>
      </w:r>
    </w:p>
    <w:p w14:paraId="5DDA2BAD" w14:textId="50BD67F9" w:rsidR="006561F4" w:rsidRDefault="00794A45" w:rsidP="00DE4DB3">
      <w:pPr>
        <w:numPr>
          <w:ilvl w:val="0"/>
          <w:numId w:val="1"/>
        </w:numPr>
        <w:ind w:left="1080"/>
        <w:jc w:val="both"/>
        <w:rPr>
          <w:rFonts w:ascii="Arial" w:hAnsi="Arial" w:cs="Arial"/>
        </w:rPr>
      </w:pPr>
      <w:r w:rsidRPr="00794A45">
        <w:rPr>
          <w:rFonts w:ascii="Arial" w:hAnsi="Arial" w:cs="Arial"/>
        </w:rPr>
        <w:t xml:space="preserve"> If erosion and sediment control measures are needed, they will be in place before earth-moving and dredging activities begin.  Functionality of erosion and sediment control devices will be maintained throughout the construction period.   </w:t>
      </w:r>
    </w:p>
    <w:p w14:paraId="052E09AB" w14:textId="77777777" w:rsidR="00DE4DB3" w:rsidRPr="00DE4DB3" w:rsidRDefault="00DE4DB3" w:rsidP="00DE4DB3">
      <w:pPr>
        <w:ind w:left="1080"/>
        <w:jc w:val="both"/>
        <w:rPr>
          <w:rFonts w:ascii="Arial" w:hAnsi="Arial" w:cs="Arial"/>
        </w:rPr>
      </w:pPr>
    </w:p>
    <w:p w14:paraId="0E35A394" w14:textId="3208E98A" w:rsidR="002F504B" w:rsidRDefault="00DE4DB3">
      <w:pPr>
        <w:rPr>
          <w:rFonts w:ascii="Arial" w:hAnsi="Arial" w:cs="Arial"/>
          <w:b/>
          <w:bCs/>
        </w:rPr>
      </w:pPr>
      <w:r>
        <w:rPr>
          <w:rFonts w:ascii="Arial" w:hAnsi="Arial" w:cs="Arial"/>
          <w:b/>
          <w:bCs/>
        </w:rPr>
        <w:t xml:space="preserve">C. </w:t>
      </w:r>
      <w:r w:rsidR="002F504B" w:rsidRPr="002F504B">
        <w:rPr>
          <w:rFonts w:ascii="Arial" w:hAnsi="Arial" w:cs="Arial"/>
          <w:b/>
          <w:bCs/>
        </w:rPr>
        <w:t xml:space="preserve"> MAP OF AREA FOR </w:t>
      </w:r>
      <w:r>
        <w:rPr>
          <w:rFonts w:ascii="Arial" w:hAnsi="Arial" w:cs="Arial"/>
          <w:b/>
          <w:bCs/>
        </w:rPr>
        <w:t>WATERWAY</w:t>
      </w:r>
      <w:r w:rsidR="002F504B" w:rsidRPr="002F504B">
        <w:rPr>
          <w:rFonts w:ascii="Arial" w:hAnsi="Arial" w:cs="Arial"/>
          <w:b/>
          <w:bCs/>
        </w:rPr>
        <w:t xml:space="preserve"> WORK:</w:t>
      </w:r>
    </w:p>
    <w:p w14:paraId="7EB77A70" w14:textId="77777777" w:rsidR="000B3567" w:rsidRDefault="00660649" w:rsidP="000B3567">
      <w:pPr>
        <w:ind w:left="720"/>
        <w:rPr>
          <w:rFonts w:ascii="Arial" w:hAnsi="Arial" w:cs="Arial"/>
        </w:rPr>
      </w:pPr>
      <w:r>
        <w:rPr>
          <w:rFonts w:ascii="Arial" w:hAnsi="Arial" w:cs="Arial"/>
        </w:rPr>
        <w:t>The work area is the portion of the stream highlighted in the map</w:t>
      </w:r>
      <w:r w:rsidR="000B3567">
        <w:rPr>
          <w:rFonts w:ascii="Arial" w:hAnsi="Arial" w:cs="Arial"/>
        </w:rPr>
        <w:t>.</w:t>
      </w:r>
      <w:r w:rsidR="00D90390">
        <w:rPr>
          <w:rFonts w:ascii="Arial" w:hAnsi="Arial" w:cs="Arial"/>
        </w:rPr>
        <w:t xml:space="preserve"> </w:t>
      </w:r>
    </w:p>
    <w:p w14:paraId="709596B7" w14:textId="51211F38" w:rsidR="002F504B" w:rsidRPr="002F504B" w:rsidRDefault="002F504B" w:rsidP="000B3567">
      <w:pPr>
        <w:ind w:left="720"/>
        <w:rPr>
          <w:rFonts w:ascii="Arial" w:hAnsi="Arial" w:cs="Arial"/>
        </w:rPr>
      </w:pPr>
      <w:r w:rsidRPr="002F504B">
        <w:rPr>
          <w:rFonts w:ascii="Arial" w:hAnsi="Arial" w:cs="Arial"/>
        </w:rPr>
        <w:t>See</w:t>
      </w:r>
      <w:r>
        <w:rPr>
          <w:rFonts w:ascii="Arial" w:hAnsi="Arial" w:cs="Arial"/>
        </w:rPr>
        <w:t xml:space="preserve"> map on following page.</w:t>
      </w:r>
    </w:p>
    <w:p w14:paraId="6A05ABA6" w14:textId="100BA970" w:rsidR="00403ACC" w:rsidRPr="00CE7804" w:rsidRDefault="000C3A41" w:rsidP="00CE7804">
      <w:pPr>
        <w:jc w:val="center"/>
        <w:rPr>
          <w:rFonts w:ascii="Arial" w:hAnsi="Arial" w:cs="Arial"/>
          <w:b/>
          <w:bCs/>
        </w:rPr>
      </w:pPr>
      <w:r>
        <w:rPr>
          <w:noProof/>
        </w:rPr>
        <w:lastRenderedPageBreak/>
        <w:drawing>
          <wp:inline distT="0" distB="0" distL="0" distR="0" wp14:anchorId="2A6FEDAE" wp14:editId="22FDE456">
            <wp:extent cx="5152381" cy="6238095"/>
            <wp:effectExtent l="0" t="0" r="0" b="0"/>
            <wp:docPr id="21138609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860967" name=""/>
                    <pic:cNvPicPr/>
                  </pic:nvPicPr>
                  <pic:blipFill>
                    <a:blip r:embed="rId6"/>
                    <a:stretch>
                      <a:fillRect/>
                    </a:stretch>
                  </pic:blipFill>
                  <pic:spPr>
                    <a:xfrm>
                      <a:off x="0" y="0"/>
                      <a:ext cx="5152381" cy="6238095"/>
                    </a:xfrm>
                    <a:prstGeom prst="rect">
                      <a:avLst/>
                    </a:prstGeom>
                  </pic:spPr>
                </pic:pic>
              </a:graphicData>
            </a:graphic>
          </wp:inline>
        </w:drawing>
      </w:r>
    </w:p>
    <w:sectPr w:rsidR="00403ACC" w:rsidRPr="00CE780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altName w:val="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200341"/>
    <w:multiLevelType w:val="hybridMultilevel"/>
    <w:tmpl w:val="FF5CF5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4764838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61F4"/>
    <w:rsid w:val="000814FB"/>
    <w:rsid w:val="000B3567"/>
    <w:rsid w:val="000C3A41"/>
    <w:rsid w:val="00150B97"/>
    <w:rsid w:val="001F1802"/>
    <w:rsid w:val="002F504B"/>
    <w:rsid w:val="00372B63"/>
    <w:rsid w:val="00403ACC"/>
    <w:rsid w:val="004E1909"/>
    <w:rsid w:val="00551A4F"/>
    <w:rsid w:val="00577F15"/>
    <w:rsid w:val="00580276"/>
    <w:rsid w:val="005A4E74"/>
    <w:rsid w:val="005B10F4"/>
    <w:rsid w:val="005B19AB"/>
    <w:rsid w:val="00603C43"/>
    <w:rsid w:val="006561F4"/>
    <w:rsid w:val="00660649"/>
    <w:rsid w:val="0079133F"/>
    <w:rsid w:val="00794A45"/>
    <w:rsid w:val="008401A9"/>
    <w:rsid w:val="008D6872"/>
    <w:rsid w:val="00925C61"/>
    <w:rsid w:val="00AA441D"/>
    <w:rsid w:val="00AC5365"/>
    <w:rsid w:val="00AD0661"/>
    <w:rsid w:val="00AE29E0"/>
    <w:rsid w:val="00B04E3D"/>
    <w:rsid w:val="00BB2050"/>
    <w:rsid w:val="00C737AF"/>
    <w:rsid w:val="00CE7804"/>
    <w:rsid w:val="00D90390"/>
    <w:rsid w:val="00DD5129"/>
    <w:rsid w:val="00DE4DB3"/>
    <w:rsid w:val="00F1517D"/>
    <w:rsid w:val="00F83F7A"/>
    <w:rsid w:val="00FC18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1B4CF"/>
  <w15:chartTrackingRefBased/>
  <w15:docId w15:val="{22FCE382-9455-4A89-9DA8-B582841E0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61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561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561F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561F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561F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561F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561F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561F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561F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61F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561F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561F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561F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561F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561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561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561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561F4"/>
    <w:rPr>
      <w:rFonts w:eastAsiaTheme="majorEastAsia" w:cstheme="majorBidi"/>
      <w:color w:val="272727" w:themeColor="text1" w:themeTint="D8"/>
    </w:rPr>
  </w:style>
  <w:style w:type="paragraph" w:styleId="Title">
    <w:name w:val="Title"/>
    <w:basedOn w:val="Normal"/>
    <w:next w:val="Normal"/>
    <w:link w:val="TitleChar"/>
    <w:uiPriority w:val="10"/>
    <w:qFormat/>
    <w:rsid w:val="006561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561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561F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561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561F4"/>
    <w:pPr>
      <w:spacing w:before="160"/>
      <w:jc w:val="center"/>
    </w:pPr>
    <w:rPr>
      <w:i/>
      <w:iCs/>
      <w:color w:val="404040" w:themeColor="text1" w:themeTint="BF"/>
    </w:rPr>
  </w:style>
  <w:style w:type="character" w:customStyle="1" w:styleId="QuoteChar">
    <w:name w:val="Quote Char"/>
    <w:basedOn w:val="DefaultParagraphFont"/>
    <w:link w:val="Quote"/>
    <w:uiPriority w:val="29"/>
    <w:rsid w:val="006561F4"/>
    <w:rPr>
      <w:i/>
      <w:iCs/>
      <w:color w:val="404040" w:themeColor="text1" w:themeTint="BF"/>
    </w:rPr>
  </w:style>
  <w:style w:type="paragraph" w:styleId="ListParagraph">
    <w:name w:val="List Paragraph"/>
    <w:basedOn w:val="Normal"/>
    <w:uiPriority w:val="34"/>
    <w:qFormat/>
    <w:rsid w:val="006561F4"/>
    <w:pPr>
      <w:ind w:left="720"/>
      <w:contextualSpacing/>
    </w:pPr>
  </w:style>
  <w:style w:type="character" w:styleId="IntenseEmphasis">
    <w:name w:val="Intense Emphasis"/>
    <w:basedOn w:val="DefaultParagraphFont"/>
    <w:uiPriority w:val="21"/>
    <w:qFormat/>
    <w:rsid w:val="006561F4"/>
    <w:rPr>
      <w:i/>
      <w:iCs/>
      <w:color w:val="0F4761" w:themeColor="accent1" w:themeShade="BF"/>
    </w:rPr>
  </w:style>
  <w:style w:type="paragraph" w:styleId="IntenseQuote">
    <w:name w:val="Intense Quote"/>
    <w:basedOn w:val="Normal"/>
    <w:next w:val="Normal"/>
    <w:link w:val="IntenseQuoteChar"/>
    <w:uiPriority w:val="30"/>
    <w:qFormat/>
    <w:rsid w:val="006561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561F4"/>
    <w:rPr>
      <w:i/>
      <w:iCs/>
      <w:color w:val="0F4761" w:themeColor="accent1" w:themeShade="BF"/>
    </w:rPr>
  </w:style>
  <w:style w:type="character" w:styleId="IntenseReference">
    <w:name w:val="Intense Reference"/>
    <w:basedOn w:val="DefaultParagraphFont"/>
    <w:uiPriority w:val="32"/>
    <w:qFormat/>
    <w:rsid w:val="006561F4"/>
    <w:rPr>
      <w:b/>
      <w:bCs/>
      <w:smallCaps/>
      <w:color w:val="0F4761" w:themeColor="accent1" w:themeShade="BF"/>
      <w:spacing w:val="5"/>
    </w:rPr>
  </w:style>
  <w:style w:type="paragraph" w:customStyle="1" w:styleId="KIndent1">
    <w:name w:val="KIndent1"/>
    <w:aliases w:val="k1"/>
    <w:basedOn w:val="Normal"/>
    <w:uiPriority w:val="99"/>
    <w:rsid w:val="006561F4"/>
    <w:pPr>
      <w:spacing w:after="240" w:line="240" w:lineRule="auto"/>
      <w:ind w:left="1440"/>
      <w:jc w:val="both"/>
    </w:pPr>
    <w:rPr>
      <w:rFonts w:ascii="Arial" w:eastAsia="MS Mincho" w:hAnsi="Arial" w:cs="Arial"/>
      <w:kern w:val="0"/>
      <w:sz w:val="22"/>
      <w:szCs w:val="22"/>
      <w:lang w:eastAsia="en-US"/>
      <w14:ligatures w14:val="none"/>
    </w:rPr>
  </w:style>
  <w:style w:type="character" w:styleId="Hyperlink">
    <w:name w:val="Hyperlink"/>
    <w:basedOn w:val="DefaultParagraphFont"/>
    <w:uiPriority w:val="99"/>
    <w:unhideWhenUsed/>
    <w:rsid w:val="006561F4"/>
    <w:rPr>
      <w:color w:val="467886" w:themeColor="hyperlink"/>
      <w:u w:val="single"/>
    </w:rPr>
  </w:style>
  <w:style w:type="character" w:styleId="UnresolvedMention">
    <w:name w:val="Unresolved Mention"/>
    <w:basedOn w:val="DefaultParagraphFont"/>
    <w:uiPriority w:val="99"/>
    <w:semiHidden/>
    <w:unhideWhenUsed/>
    <w:rsid w:val="006561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darlene.bryant@hawaii.gov"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14</TotalTime>
  <Pages>4</Pages>
  <Words>786</Words>
  <Characters>4483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Bryant-Takamatsu, Darlene J</dc:creator>
  <cp:keywords/>
  <dc:description/>
  <cp:lastModifiedBy>Bryant-Takamatsu, Darlene J</cp:lastModifiedBy>
  <cp:revision>10</cp:revision>
  <cp:lastPrinted>2026-05-16T01:14:00Z</cp:lastPrinted>
  <dcterms:created xsi:type="dcterms:W3CDTF">2026-05-15T23:49:00Z</dcterms:created>
  <dcterms:modified xsi:type="dcterms:W3CDTF">2026-05-16T02:00:00Z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8373f9c6-d5b7-4b9c-b05d-383ae737c164</vt:lpwstr>
  </property>
</Properties>
</file>